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2B717C">
        <w:rPr>
          <w:rFonts w:ascii="Times New Roman" w:hAnsi="Times New Roman" w:cs="Times New Roman"/>
          <w:sz w:val="20"/>
          <w:szCs w:val="20"/>
        </w:rPr>
        <w:t>учебного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оборудования </w:t>
      </w:r>
      <w:r w:rsidR="003E2CF7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F2170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65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F2170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09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F2170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дека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2B717C">
        <w:rPr>
          <w:rFonts w:ascii="Times New Roman" w:hAnsi="Times New Roman" w:cs="Times New Roman"/>
          <w:noProof/>
          <w:sz w:val="20"/>
        </w:rPr>
        <w:t>учебное</w:t>
      </w:r>
      <w:r w:rsidR="00F50540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="003E2CF7">
        <w:rPr>
          <w:rFonts w:ascii="Times New Roman" w:hAnsi="Times New Roman" w:cs="Times New Roman"/>
          <w:noProof/>
          <w:sz w:val="20"/>
        </w:rPr>
        <w:t xml:space="preserve"> для нужд КУИЦ «Энергетика» БрГУ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21707">
        <w:rPr>
          <w:rFonts w:ascii="Times New Roman" w:hAnsi="Times New Roman" w:cs="Times New Roman"/>
          <w:b/>
          <w:noProof/>
          <w:sz w:val="20"/>
          <w:szCs w:val="20"/>
        </w:rPr>
        <w:t>28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февраля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2B717C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5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6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</w:t>
      </w:r>
      <w:r w:rsidR="002B717C">
        <w:rPr>
          <w:rFonts w:ascii="Times New Roman" w:hAnsi="Times New Roman" w:cs="Times New Roman"/>
          <w:noProof/>
          <w:sz w:val="20"/>
          <w:szCs w:val="20"/>
        </w:rPr>
        <w:t>7</w:t>
      </w:r>
      <w:r w:rsidRPr="00102B92">
        <w:rPr>
          <w:rFonts w:ascii="Times New Roman" w:hAnsi="Times New Roman" w:cs="Times New Roman"/>
          <w:noProof/>
          <w:sz w:val="20"/>
          <w:szCs w:val="20"/>
        </w:rPr>
        <w:t>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A00A4E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A00A4E">
      <w:pPr>
        <w:spacing w:after="0" w:line="240" w:lineRule="auto"/>
        <w:ind w:firstLine="532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</w:t>
      </w:r>
      <w:r w:rsidR="002B717C">
        <w:rPr>
          <w:rFonts w:ascii="Times New Roman" w:eastAsia="Calibri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Иркутской области.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00A4E" w:rsidRDefault="00A00A4E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</w:p>
    <w:p w:rsidR="00102B92" w:rsidRPr="00102B92" w:rsidRDefault="00102B92" w:rsidP="00A00A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A4E" w:rsidRPr="00102B92" w:rsidRDefault="00A00A4E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lastRenderedPageBreak/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AD52A4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AD52A4">
        <w:rPr>
          <w:rFonts w:ascii="Times New Roman" w:hAnsi="Times New Roman" w:cs="Times New Roman"/>
          <w:noProof/>
          <w:sz w:val="20"/>
          <w:szCs w:val="20"/>
        </w:rPr>
        <w:t>марта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AD5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 Юрий Николаевич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F21707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F2170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F2170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F2170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AD52A4" w:rsidRPr="00F2170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445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00A4E" w:rsidRPr="00A00A4E" w:rsidRDefault="00A00A4E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3F" w:rsidRDefault="00DD6B3F" w:rsidP="003D59F3">
      <w:pPr>
        <w:spacing w:after="0" w:line="240" w:lineRule="auto"/>
      </w:pPr>
      <w:r>
        <w:separator/>
      </w:r>
    </w:p>
  </w:endnote>
  <w:endnote w:type="continuationSeparator" w:id="0">
    <w:p w:rsidR="00DD6B3F" w:rsidRDefault="00DD6B3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2C5506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F217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3F" w:rsidRDefault="00DD6B3F" w:rsidP="003D59F3">
      <w:pPr>
        <w:spacing w:after="0" w:line="240" w:lineRule="auto"/>
      </w:pPr>
      <w:r>
        <w:separator/>
      </w:r>
    </w:p>
  </w:footnote>
  <w:footnote w:type="continuationSeparator" w:id="0">
    <w:p w:rsidR="00DD6B3F" w:rsidRDefault="00DD6B3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17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06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4A1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B6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4CD9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0A4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52A4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6B3F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1E3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707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2019-04-03T03:40:00Z</cp:lastPrinted>
  <dcterms:created xsi:type="dcterms:W3CDTF">2014-10-02T06:08:00Z</dcterms:created>
  <dcterms:modified xsi:type="dcterms:W3CDTF">2021-12-09T10:29:00Z</dcterms:modified>
</cp:coreProperties>
</file>